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31" w:type="dxa"/>
        <w:tblLook w:val="04A0" w:firstRow="1" w:lastRow="0" w:firstColumn="1" w:lastColumn="0" w:noHBand="0" w:noVBand="1"/>
      </w:tblPr>
      <w:tblGrid>
        <w:gridCol w:w="10207"/>
      </w:tblGrid>
      <w:tr w:rsidR="00A76B17" w14:paraId="661CC825" w14:textId="77777777" w:rsidTr="001C5A35">
        <w:tc>
          <w:tcPr>
            <w:tcW w:w="10207" w:type="dxa"/>
          </w:tcPr>
          <w:p w14:paraId="763B9053" w14:textId="470146CC" w:rsidR="00A76B17" w:rsidRPr="00CA2E7B" w:rsidRDefault="007F1D79" w:rsidP="00A76B17">
            <w:pPr>
              <w:jc w:val="center"/>
              <w:rPr>
                <w:b/>
                <w:bCs/>
                <w:sz w:val="32"/>
                <w:szCs w:val="32"/>
              </w:rPr>
            </w:pPr>
            <w:r>
              <w:rPr>
                <w:b/>
                <w:bCs/>
                <w:sz w:val="32"/>
                <w:szCs w:val="32"/>
              </w:rPr>
              <w:t>OBJECTION FORM</w:t>
            </w:r>
          </w:p>
        </w:tc>
      </w:tr>
    </w:tbl>
    <w:p w14:paraId="2DB22757" w14:textId="77777777" w:rsidR="00AF78F8" w:rsidRPr="008A5DE1" w:rsidRDefault="00AF78F8">
      <w:pPr>
        <w:rPr>
          <w:sz w:val="10"/>
          <w:szCs w:val="10"/>
        </w:rPr>
      </w:pPr>
    </w:p>
    <w:tbl>
      <w:tblPr>
        <w:tblStyle w:val="TableGrid"/>
        <w:tblW w:w="10207" w:type="dxa"/>
        <w:tblInd w:w="-431" w:type="dxa"/>
        <w:tblLook w:val="04A0" w:firstRow="1" w:lastRow="0" w:firstColumn="1" w:lastColumn="0" w:noHBand="0" w:noVBand="1"/>
      </w:tblPr>
      <w:tblGrid>
        <w:gridCol w:w="6096"/>
        <w:gridCol w:w="4111"/>
      </w:tblGrid>
      <w:tr w:rsidR="00A76B17" w14:paraId="12B01FCA" w14:textId="77777777" w:rsidTr="001C5A35">
        <w:tc>
          <w:tcPr>
            <w:tcW w:w="6096" w:type="dxa"/>
            <w:shd w:val="clear" w:color="auto" w:fill="D9D9D9" w:themeFill="background1" w:themeFillShade="D9"/>
          </w:tcPr>
          <w:p w14:paraId="7F635A35" w14:textId="77777777" w:rsidR="00A76B17" w:rsidRPr="00396D46" w:rsidRDefault="00A76B17">
            <w:pPr>
              <w:rPr>
                <w:sz w:val="21"/>
                <w:szCs w:val="21"/>
              </w:rPr>
            </w:pPr>
            <w:r w:rsidRPr="00396D46">
              <w:rPr>
                <w:sz w:val="21"/>
                <w:szCs w:val="21"/>
              </w:rPr>
              <w:t>Name:</w:t>
            </w:r>
          </w:p>
          <w:p w14:paraId="0EA0B789" w14:textId="77777777" w:rsidR="00A76B17" w:rsidRPr="00396D46" w:rsidRDefault="00A76B17">
            <w:pPr>
              <w:rPr>
                <w:sz w:val="21"/>
                <w:szCs w:val="21"/>
              </w:rPr>
            </w:pPr>
          </w:p>
          <w:p w14:paraId="75376540" w14:textId="7F2F6628" w:rsidR="00A76B17" w:rsidRPr="00396D46" w:rsidRDefault="00A76B17">
            <w:pPr>
              <w:rPr>
                <w:sz w:val="21"/>
                <w:szCs w:val="21"/>
              </w:rPr>
            </w:pPr>
            <w:r w:rsidRPr="00396D46">
              <w:rPr>
                <w:sz w:val="21"/>
                <w:szCs w:val="21"/>
              </w:rPr>
              <w:t>Address:</w:t>
            </w:r>
          </w:p>
        </w:tc>
        <w:tc>
          <w:tcPr>
            <w:tcW w:w="4111" w:type="dxa"/>
            <w:shd w:val="clear" w:color="auto" w:fill="D9D9D9" w:themeFill="background1" w:themeFillShade="D9"/>
          </w:tcPr>
          <w:p w14:paraId="116B820D" w14:textId="5C63F3CC" w:rsidR="00A76B17" w:rsidRPr="00396D46" w:rsidRDefault="00A76B17">
            <w:pPr>
              <w:rPr>
                <w:sz w:val="21"/>
                <w:szCs w:val="21"/>
              </w:rPr>
            </w:pPr>
            <w:r w:rsidRPr="00396D46">
              <w:rPr>
                <w:sz w:val="21"/>
                <w:szCs w:val="21"/>
              </w:rPr>
              <w:t>Date:</w:t>
            </w:r>
          </w:p>
          <w:p w14:paraId="0E831CE6" w14:textId="77777777" w:rsidR="00A76B17" w:rsidRPr="00396D46" w:rsidRDefault="00A76B17">
            <w:pPr>
              <w:rPr>
                <w:sz w:val="21"/>
                <w:szCs w:val="21"/>
              </w:rPr>
            </w:pPr>
          </w:p>
          <w:p w14:paraId="12E18C0B" w14:textId="77777777" w:rsidR="00A76B17" w:rsidRPr="00396D46" w:rsidRDefault="00A76B17">
            <w:pPr>
              <w:rPr>
                <w:sz w:val="21"/>
                <w:szCs w:val="21"/>
              </w:rPr>
            </w:pPr>
          </w:p>
          <w:p w14:paraId="13BB71A0" w14:textId="77777777" w:rsidR="00A76B17" w:rsidRPr="00396D46" w:rsidRDefault="00A76B17">
            <w:pPr>
              <w:rPr>
                <w:sz w:val="21"/>
                <w:szCs w:val="21"/>
              </w:rPr>
            </w:pPr>
          </w:p>
          <w:p w14:paraId="29C94F88" w14:textId="372B507C" w:rsidR="00A76B17" w:rsidRPr="00396D46" w:rsidRDefault="00A76B17">
            <w:pPr>
              <w:rPr>
                <w:sz w:val="21"/>
                <w:szCs w:val="21"/>
              </w:rPr>
            </w:pPr>
            <w:r w:rsidRPr="00396D46">
              <w:rPr>
                <w:sz w:val="21"/>
                <w:szCs w:val="21"/>
              </w:rPr>
              <w:t>Signed:</w:t>
            </w:r>
          </w:p>
          <w:p w14:paraId="438C2139" w14:textId="77777777" w:rsidR="00A76B17" w:rsidRPr="00396D46" w:rsidRDefault="00A76B17">
            <w:pPr>
              <w:rPr>
                <w:sz w:val="21"/>
                <w:szCs w:val="21"/>
              </w:rPr>
            </w:pPr>
          </w:p>
          <w:p w14:paraId="31E8D07F" w14:textId="77777777" w:rsidR="00A76B17" w:rsidRPr="00396D46" w:rsidRDefault="00A76B17">
            <w:pPr>
              <w:rPr>
                <w:sz w:val="21"/>
                <w:szCs w:val="21"/>
              </w:rPr>
            </w:pPr>
          </w:p>
          <w:p w14:paraId="693433B2" w14:textId="77777777" w:rsidR="00A76B17" w:rsidRPr="00396D46" w:rsidRDefault="00A76B17">
            <w:pPr>
              <w:rPr>
                <w:sz w:val="21"/>
                <w:szCs w:val="21"/>
              </w:rPr>
            </w:pPr>
          </w:p>
        </w:tc>
      </w:tr>
    </w:tbl>
    <w:p w14:paraId="5B386C8E" w14:textId="77777777" w:rsidR="00A76B17" w:rsidRPr="008A5DE1" w:rsidRDefault="00A76B17">
      <w:pPr>
        <w:rPr>
          <w:sz w:val="10"/>
          <w:szCs w:val="10"/>
        </w:rPr>
      </w:pPr>
    </w:p>
    <w:tbl>
      <w:tblPr>
        <w:tblStyle w:val="TableGrid"/>
        <w:tblW w:w="10207" w:type="dxa"/>
        <w:tblInd w:w="-431" w:type="dxa"/>
        <w:tblLook w:val="04A0" w:firstRow="1" w:lastRow="0" w:firstColumn="1" w:lastColumn="0" w:noHBand="0" w:noVBand="1"/>
      </w:tblPr>
      <w:tblGrid>
        <w:gridCol w:w="10207"/>
      </w:tblGrid>
      <w:tr w:rsidR="00A76B17" w14:paraId="08697223" w14:textId="77777777" w:rsidTr="001C5A35">
        <w:tc>
          <w:tcPr>
            <w:tcW w:w="10207" w:type="dxa"/>
            <w:shd w:val="clear" w:color="auto" w:fill="auto"/>
          </w:tcPr>
          <w:p w14:paraId="024ABE0C" w14:textId="1F70D740" w:rsidR="00A76B17" w:rsidRPr="00396D46" w:rsidRDefault="00A76B17" w:rsidP="00A76B17">
            <w:pPr>
              <w:jc w:val="center"/>
              <w:rPr>
                <w:b/>
                <w:bCs/>
                <w:sz w:val="28"/>
                <w:szCs w:val="28"/>
              </w:rPr>
            </w:pPr>
            <w:r w:rsidRPr="00396D46">
              <w:rPr>
                <w:b/>
                <w:bCs/>
                <w:sz w:val="28"/>
                <w:szCs w:val="28"/>
              </w:rPr>
              <w:t>Outline Planning Application – Lagan Homes ref: 24/00914/OUT</w:t>
            </w:r>
          </w:p>
        </w:tc>
      </w:tr>
    </w:tbl>
    <w:p w14:paraId="2D1F52B6" w14:textId="77777777" w:rsidR="00A76B17" w:rsidRPr="00396D46" w:rsidRDefault="00A76B17">
      <w:pPr>
        <w:rPr>
          <w:sz w:val="10"/>
          <w:szCs w:val="10"/>
        </w:rPr>
      </w:pPr>
    </w:p>
    <w:p w14:paraId="26D10114" w14:textId="13595E4D" w:rsidR="00A76B17" w:rsidRPr="00396D46" w:rsidRDefault="00A76B17">
      <w:pPr>
        <w:rPr>
          <w:sz w:val="21"/>
          <w:szCs w:val="21"/>
        </w:rPr>
      </w:pPr>
      <w:r w:rsidRPr="00396D46">
        <w:rPr>
          <w:sz w:val="21"/>
          <w:szCs w:val="21"/>
        </w:rPr>
        <w:t>I object to the above planning application for 470 Houses on the land west of Ratby for the following</w:t>
      </w:r>
      <w:r w:rsidR="001C5A35">
        <w:rPr>
          <w:sz w:val="21"/>
          <w:szCs w:val="21"/>
        </w:rPr>
        <w:t xml:space="preserve"> </w:t>
      </w:r>
      <w:r w:rsidR="00B10AF8" w:rsidRPr="00396D46">
        <w:rPr>
          <w:sz w:val="21"/>
          <w:szCs w:val="21"/>
        </w:rPr>
        <w:t>reasons:-</w:t>
      </w:r>
      <w:r w:rsidR="008A5DE1" w:rsidRPr="00396D46">
        <w:rPr>
          <w:sz w:val="21"/>
          <w:szCs w:val="21"/>
        </w:rPr>
        <w:t xml:space="preserve"> </w:t>
      </w:r>
      <w:r w:rsidR="001555E1">
        <w:rPr>
          <w:sz w:val="21"/>
          <w:szCs w:val="21"/>
        </w:rPr>
        <w:t>(</w:t>
      </w:r>
      <w:r w:rsidR="00E943A0">
        <w:rPr>
          <w:sz w:val="21"/>
          <w:szCs w:val="21"/>
        </w:rPr>
        <w:t>T</w:t>
      </w:r>
      <w:r w:rsidR="008A5DE1" w:rsidRPr="00396D46">
        <w:rPr>
          <w:sz w:val="21"/>
          <w:szCs w:val="21"/>
        </w:rPr>
        <w:t xml:space="preserve">ick </w:t>
      </w:r>
      <w:r w:rsidR="001555E1">
        <w:rPr>
          <w:sz w:val="21"/>
          <w:szCs w:val="21"/>
        </w:rPr>
        <w:t xml:space="preserve">or </w:t>
      </w:r>
      <w:r w:rsidR="00E943A0">
        <w:rPr>
          <w:sz w:val="21"/>
          <w:szCs w:val="21"/>
        </w:rPr>
        <w:t xml:space="preserve">put </w:t>
      </w:r>
      <w:r w:rsidR="0046114B">
        <w:rPr>
          <w:sz w:val="21"/>
          <w:szCs w:val="21"/>
        </w:rPr>
        <w:t xml:space="preserve">Y </w:t>
      </w:r>
      <w:r w:rsidR="00E943A0">
        <w:rPr>
          <w:sz w:val="21"/>
          <w:szCs w:val="21"/>
        </w:rPr>
        <w:t xml:space="preserve">in </w:t>
      </w:r>
      <w:r w:rsidR="008A5DE1" w:rsidRPr="00396D46">
        <w:rPr>
          <w:sz w:val="21"/>
          <w:szCs w:val="21"/>
        </w:rPr>
        <w:t>the boxes</w:t>
      </w:r>
      <w:r w:rsidR="001555E1">
        <w:rPr>
          <w:sz w:val="21"/>
          <w:szCs w:val="21"/>
        </w:rPr>
        <w:t xml:space="preserve"> that matter to you and add additional comments overleaf</w:t>
      </w:r>
      <w:r w:rsidR="008A5DE1" w:rsidRPr="00396D46">
        <w:rPr>
          <w:sz w:val="21"/>
          <w:szCs w:val="21"/>
        </w:rPr>
        <w:t>)</w:t>
      </w:r>
    </w:p>
    <w:p w14:paraId="4BB536F8" w14:textId="63C3B4CC" w:rsidR="00A76B17" w:rsidRPr="00396D46" w:rsidRDefault="00240ADA">
      <w:pPr>
        <w:rPr>
          <w:sz w:val="10"/>
          <w:szCs w:val="10"/>
        </w:rPr>
      </w:pPr>
      <w:r>
        <w:rPr>
          <w:noProof/>
          <w:sz w:val="10"/>
          <w:szCs w:val="10"/>
        </w:rPr>
        <mc:AlternateContent>
          <mc:Choice Requires="wps">
            <w:drawing>
              <wp:anchor distT="0" distB="0" distL="114300" distR="114300" simplePos="0" relativeHeight="251659264" behindDoc="0" locked="0" layoutInCell="1" allowOverlap="1" wp14:anchorId="65FBED8B" wp14:editId="353EBAAA">
                <wp:simplePos x="0" y="0"/>
                <wp:positionH relativeFrom="column">
                  <wp:posOffset>-199390</wp:posOffset>
                </wp:positionH>
                <wp:positionV relativeFrom="paragraph">
                  <wp:posOffset>6919595</wp:posOffset>
                </wp:positionV>
                <wp:extent cx="6400800" cy="330200"/>
                <wp:effectExtent l="0" t="0" r="12700" b="12700"/>
                <wp:wrapNone/>
                <wp:docPr id="779110727" name="Rectangle 1"/>
                <wp:cNvGraphicFramePr/>
                <a:graphic xmlns:a="http://schemas.openxmlformats.org/drawingml/2006/main">
                  <a:graphicData uri="http://schemas.microsoft.com/office/word/2010/wordprocessingShape">
                    <wps:wsp>
                      <wps:cNvSpPr/>
                      <wps:spPr>
                        <a:xfrm>
                          <a:off x="0" y="0"/>
                          <a:ext cx="6400800" cy="330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B5CF90D" w14:textId="77777777" w:rsidR="00240ADA" w:rsidRPr="00A66F78" w:rsidRDefault="00240ADA" w:rsidP="00240ADA">
                            <w:pPr>
                              <w:jc w:val="center"/>
                              <w:rPr>
                                <w:b/>
                                <w:bCs/>
                                <w:color w:val="000000" w:themeColor="text1"/>
                                <w:sz w:val="28"/>
                                <w:szCs w:val="28"/>
                              </w:rPr>
                            </w:pPr>
                            <w:r>
                              <w:rPr>
                                <w:b/>
                                <w:bCs/>
                                <w:color w:val="000000" w:themeColor="text1"/>
                                <w:sz w:val="28"/>
                                <w:szCs w:val="28"/>
                              </w:rPr>
                              <w:t>Continued overleaf….</w:t>
                            </w:r>
                          </w:p>
                          <w:p w14:paraId="50A903BA" w14:textId="30508076" w:rsidR="00240ADA" w:rsidRPr="00240ADA" w:rsidRDefault="00240ADA" w:rsidP="00240ADA">
                            <w:pPr>
                              <w:jc w:val="center"/>
                              <w:rPr>
                                <w:color w:val="000000" w:themeColor="text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FBED8B" id="Rectangle 1" o:spid="_x0000_s1026" style="position:absolute;margin-left:-15.7pt;margin-top:544.85pt;width:7in;height: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" filled="f" strokecolor="#030e13 [484]" strokeweight="1pt">
                <v:textbox>
                  <w:txbxContent>
                    <w:p w14:paraId="1B5CF90D" w14:textId="77777777" w:rsidR="00240ADA" w:rsidRPr="00A66F78" w:rsidRDefault="00240ADA" w:rsidP="00240ADA">
                      <w:pPr>
                        <w:jc w:val="center"/>
                        <w:rPr>
                          <w:b/>
                          <w:bCs/>
                          <w:color w:val="000000" w:themeColor="text1"/>
                          <w:sz w:val="28"/>
                          <w:szCs w:val="28"/>
                        </w:rPr>
                      </w:pPr>
                      <w:r>
                        <w:rPr>
                          <w:b/>
                          <w:bCs/>
                          <w:color w:val="000000" w:themeColor="text1"/>
                          <w:sz w:val="28"/>
                          <w:szCs w:val="28"/>
                        </w:rPr>
                        <w:t>Continued overleaf….</w:t>
                      </w:r>
                    </w:p>
                    <w:p w14:paraId="50A903BA" w14:textId="30508076" w:rsidR="00240ADA" w:rsidRPr="00240ADA" w:rsidRDefault="00240ADA" w:rsidP="00240ADA">
                      <w:pPr>
                        <w:jc w:val="center"/>
                        <w:rPr>
                          <w:color w:val="000000" w:themeColor="text1"/>
                          <w14:textOutline w14:w="9525" w14:cap="rnd" w14:cmpd="sng" w14:algn="ctr">
                            <w14:solidFill>
                              <w14:srgbClr w14:val="000000"/>
                            </w14:solidFill>
                            <w14:prstDash w14:val="solid"/>
                            <w14:bevel/>
                          </w14:textOutline>
                        </w:rPr>
                      </w:pPr>
                    </w:p>
                  </w:txbxContent>
                </v:textbox>
              </v:rect>
            </w:pict>
          </mc:Fallback>
        </mc:AlternateContent>
      </w:r>
    </w:p>
    <w:tbl>
      <w:tblPr>
        <w:tblStyle w:val="TableGrid"/>
        <w:tblW w:w="10207" w:type="dxa"/>
        <w:tblInd w:w="-431" w:type="dxa"/>
        <w:tblLook w:val="04A0" w:firstRow="1" w:lastRow="0" w:firstColumn="1" w:lastColumn="0" w:noHBand="0" w:noVBand="1"/>
      </w:tblPr>
      <w:tblGrid>
        <w:gridCol w:w="710"/>
        <w:gridCol w:w="9497"/>
      </w:tblGrid>
      <w:tr w:rsidR="008A5DE1" w14:paraId="4D6B8C4C" w14:textId="77777777" w:rsidTr="00240ADA">
        <w:tc>
          <w:tcPr>
            <w:tcW w:w="710" w:type="dxa"/>
            <w:shd w:val="clear" w:color="auto" w:fill="D9D9D9" w:themeFill="background1" w:themeFillShade="D9"/>
          </w:tcPr>
          <w:p w14:paraId="523F1027" w14:textId="3F6F147A" w:rsidR="008A5DE1" w:rsidRPr="004A4922" w:rsidRDefault="004A4922">
            <w:pPr>
              <w:rPr>
                <w:sz w:val="16"/>
                <w:szCs w:val="16"/>
              </w:rPr>
            </w:pPr>
            <w:r w:rsidRPr="004A4922">
              <w:rPr>
                <w:sz w:val="16"/>
                <w:szCs w:val="16"/>
              </w:rPr>
              <w:t>(</w:t>
            </w:r>
            <w:r w:rsidR="00D106F6">
              <w:rPr>
                <w:sz w:val="16"/>
                <w:szCs w:val="16"/>
              </w:rPr>
              <w:t>Tick</w:t>
            </w:r>
            <w:r w:rsidRPr="004A4922">
              <w:rPr>
                <w:sz w:val="16"/>
                <w:szCs w:val="16"/>
              </w:rPr>
              <w:t xml:space="preserve"> or </w:t>
            </w:r>
            <w:r w:rsidR="00D106F6">
              <w:rPr>
                <w:sz w:val="16"/>
                <w:szCs w:val="16"/>
              </w:rPr>
              <w:t>Y</w:t>
            </w:r>
            <w:r w:rsidRPr="004A4922">
              <w:rPr>
                <w:sz w:val="16"/>
                <w:szCs w:val="16"/>
              </w:rPr>
              <w:t>)</w:t>
            </w:r>
          </w:p>
        </w:tc>
        <w:tc>
          <w:tcPr>
            <w:tcW w:w="9497" w:type="dxa"/>
          </w:tcPr>
          <w:p w14:paraId="585B9B8E" w14:textId="290DECC2" w:rsidR="008A5DE1" w:rsidRPr="00365376" w:rsidRDefault="00396D46">
            <w:pPr>
              <w:rPr>
                <w:sz w:val="22"/>
                <w:szCs w:val="22"/>
              </w:rPr>
            </w:pPr>
            <w:r w:rsidRPr="00365376">
              <w:rPr>
                <w:rFonts w:ascii="ProximaNova" w:hAnsi="ProximaNova"/>
                <w:b/>
                <w:bCs/>
                <w:sz w:val="22"/>
                <w:szCs w:val="22"/>
              </w:rPr>
              <w:t xml:space="preserve">DM Policy 1 – Presumption in favour of Sustainable Development </w:t>
            </w:r>
            <w:r w:rsidRPr="00365376">
              <w:rPr>
                <w:b/>
                <w:bCs/>
                <w:sz w:val="22"/>
                <w:szCs w:val="22"/>
              </w:rPr>
              <w:t xml:space="preserve"> - </w:t>
            </w:r>
            <w:r w:rsidRPr="00365376">
              <w:rPr>
                <w:rFonts w:ascii="ProximaNova" w:hAnsi="ProximaNova"/>
                <w:sz w:val="22"/>
                <w:szCs w:val="22"/>
              </w:rPr>
              <w:t>The collective impact of all the developments that have been proposed, approved, in progress or recently completed, would have an adverse impact on the countryside and would significantly outweigh the benefits of the any development.</w:t>
            </w:r>
          </w:p>
        </w:tc>
      </w:tr>
      <w:tr w:rsidR="00396D46" w14:paraId="7FFD6A83" w14:textId="77777777" w:rsidTr="00240ADA">
        <w:tc>
          <w:tcPr>
            <w:tcW w:w="710" w:type="dxa"/>
            <w:shd w:val="clear" w:color="auto" w:fill="D9D9D9" w:themeFill="background1" w:themeFillShade="D9"/>
          </w:tcPr>
          <w:p w14:paraId="39123275" w14:textId="77777777" w:rsidR="00396D46" w:rsidRDefault="00396D46"/>
        </w:tc>
        <w:tc>
          <w:tcPr>
            <w:tcW w:w="9497" w:type="dxa"/>
          </w:tcPr>
          <w:p w14:paraId="0A267259" w14:textId="07DCA5E0" w:rsidR="00396D46" w:rsidRPr="00365376" w:rsidRDefault="00396D46">
            <w:pPr>
              <w:rPr>
                <w:rFonts w:ascii="ProximaNova" w:hAnsi="ProximaNova"/>
                <w:b/>
                <w:bCs/>
                <w:sz w:val="22"/>
                <w:szCs w:val="22"/>
              </w:rPr>
            </w:pPr>
            <w:r w:rsidRPr="00365376">
              <w:rPr>
                <w:rFonts w:ascii="ProximaNova" w:hAnsi="ProximaNova"/>
                <w:b/>
                <w:bCs/>
                <w:sz w:val="22"/>
                <w:szCs w:val="22"/>
              </w:rPr>
              <w:t xml:space="preserve">DM Policy 3 – Infrastructure and Delivery </w:t>
            </w:r>
            <w:r w:rsidRPr="00365376">
              <w:rPr>
                <w:b/>
                <w:bCs/>
                <w:sz w:val="22"/>
                <w:szCs w:val="22"/>
              </w:rPr>
              <w:t xml:space="preserve"> - </w:t>
            </w:r>
            <w:r w:rsidRPr="00365376">
              <w:rPr>
                <w:rFonts w:ascii="ProximaNova" w:hAnsi="ProximaNova"/>
                <w:sz w:val="22"/>
                <w:szCs w:val="22"/>
              </w:rPr>
              <w:t>Section 106 agreements mean that developers pay towards local infrastructure that are physical, social and environmental, but should also protect the natural environment such as open countryside.</w:t>
            </w:r>
          </w:p>
        </w:tc>
      </w:tr>
      <w:tr w:rsidR="00396D46" w14:paraId="59EA8CB9" w14:textId="77777777" w:rsidTr="00240ADA">
        <w:tc>
          <w:tcPr>
            <w:tcW w:w="710" w:type="dxa"/>
            <w:shd w:val="clear" w:color="auto" w:fill="D9D9D9" w:themeFill="background1" w:themeFillShade="D9"/>
          </w:tcPr>
          <w:p w14:paraId="5E3C9D75" w14:textId="77777777" w:rsidR="00396D46" w:rsidRDefault="00396D46"/>
        </w:tc>
        <w:tc>
          <w:tcPr>
            <w:tcW w:w="9497" w:type="dxa"/>
          </w:tcPr>
          <w:p w14:paraId="567176E1" w14:textId="0A853512" w:rsidR="00396D46" w:rsidRPr="00365376" w:rsidRDefault="00396D46" w:rsidP="00396D46">
            <w:pPr>
              <w:pStyle w:val="NormalWeb"/>
              <w:rPr>
                <w:b/>
                <w:bCs/>
                <w:sz w:val="22"/>
                <w:szCs w:val="22"/>
              </w:rPr>
            </w:pPr>
            <w:r w:rsidRPr="00365376">
              <w:rPr>
                <w:rFonts w:ascii="ProximaNova" w:hAnsi="ProximaNova"/>
                <w:b/>
                <w:bCs/>
                <w:sz w:val="22"/>
                <w:szCs w:val="22"/>
              </w:rPr>
              <w:t xml:space="preserve">DM Policy 4 – Safeguarding the Countryside and Settlement Separation </w:t>
            </w:r>
            <w:r w:rsidRPr="00365376">
              <w:rPr>
                <w:b/>
                <w:bCs/>
                <w:sz w:val="22"/>
                <w:szCs w:val="22"/>
              </w:rPr>
              <w:t xml:space="preserve">- </w:t>
            </w:r>
            <w:r w:rsidRPr="00365376">
              <w:rPr>
                <w:rFonts w:ascii="ProximaNova" w:hAnsi="ProximaNova"/>
                <w:sz w:val="22"/>
                <w:szCs w:val="22"/>
              </w:rPr>
              <w:t xml:space="preserve">This policy is designed to protect and safeguard intrinsic value, beauty and open countryside from unsustainable development, and this application would have an adverse effect due to the loss of intrinsic value, beauty and open countryside. </w:t>
            </w:r>
          </w:p>
        </w:tc>
      </w:tr>
      <w:tr w:rsidR="00365376" w14:paraId="2FDFA857" w14:textId="77777777" w:rsidTr="00240ADA">
        <w:tc>
          <w:tcPr>
            <w:tcW w:w="710" w:type="dxa"/>
            <w:shd w:val="clear" w:color="auto" w:fill="D9D9D9" w:themeFill="background1" w:themeFillShade="D9"/>
          </w:tcPr>
          <w:p w14:paraId="167D745B" w14:textId="77777777" w:rsidR="00365376" w:rsidRDefault="00365376"/>
        </w:tc>
        <w:tc>
          <w:tcPr>
            <w:tcW w:w="9497" w:type="dxa"/>
          </w:tcPr>
          <w:p w14:paraId="65E57C55" w14:textId="31AEA867" w:rsidR="00365376" w:rsidRPr="00365376" w:rsidRDefault="00365376" w:rsidP="00365376">
            <w:pPr>
              <w:rPr>
                <w:sz w:val="22"/>
                <w:szCs w:val="22"/>
              </w:rPr>
            </w:pPr>
            <w:r w:rsidRPr="00365376">
              <w:rPr>
                <w:b/>
                <w:bCs/>
                <w:sz w:val="22"/>
                <w:szCs w:val="22"/>
              </w:rPr>
              <w:t>DM6: Enhancement of Biodiversity and Geological Interest</w:t>
            </w:r>
            <w:r w:rsidRPr="00365376">
              <w:rPr>
                <w:sz w:val="22"/>
                <w:szCs w:val="22"/>
              </w:rPr>
              <w:t> is particularly relevant, as it requires developments to protect and enhance biodiversity. The proposed development threatens to diminish local biodiversity by disrupting existing habitats and failing to provide sufficient mitigation measures, thus conflicting with DM6's objectives.</w:t>
            </w:r>
          </w:p>
        </w:tc>
      </w:tr>
      <w:tr w:rsidR="00396D46" w14:paraId="333064E1" w14:textId="77777777" w:rsidTr="00240ADA">
        <w:tc>
          <w:tcPr>
            <w:tcW w:w="710" w:type="dxa"/>
            <w:shd w:val="clear" w:color="auto" w:fill="D9D9D9" w:themeFill="background1" w:themeFillShade="D9"/>
          </w:tcPr>
          <w:p w14:paraId="1F6BC3A3" w14:textId="77777777" w:rsidR="00396D46" w:rsidRDefault="00396D46"/>
        </w:tc>
        <w:tc>
          <w:tcPr>
            <w:tcW w:w="9497" w:type="dxa"/>
          </w:tcPr>
          <w:p w14:paraId="043CFFDD" w14:textId="56DE706C" w:rsidR="00396D46" w:rsidRPr="00365376" w:rsidRDefault="00396D46" w:rsidP="00396D46">
            <w:pPr>
              <w:pStyle w:val="NormalWeb"/>
              <w:rPr>
                <w:b/>
                <w:bCs/>
                <w:sz w:val="22"/>
                <w:szCs w:val="22"/>
              </w:rPr>
            </w:pPr>
            <w:r w:rsidRPr="00365376">
              <w:rPr>
                <w:rFonts w:ascii="ProximaNova" w:hAnsi="ProximaNova"/>
                <w:b/>
                <w:bCs/>
                <w:sz w:val="22"/>
                <w:szCs w:val="22"/>
              </w:rPr>
              <w:t xml:space="preserve">DM Policy 7 – Prevention pollution and flooding - </w:t>
            </w:r>
            <w:r w:rsidRPr="00365376">
              <w:rPr>
                <w:rFonts w:ascii="ProximaNova" w:hAnsi="ProximaNova"/>
                <w:sz w:val="22"/>
                <w:szCs w:val="22"/>
              </w:rPr>
              <w:t xml:space="preserve">There is a significant risk of major flooding to the village with the collective and major loss of fields to housing and changes in climate rendering current flood prevention ineffective a collective flood assessment of all the developments has not taken place to guarantee there will not be a flooding risk to residents. </w:t>
            </w:r>
          </w:p>
        </w:tc>
      </w:tr>
      <w:tr w:rsidR="00365376" w14:paraId="1F5857B0" w14:textId="77777777" w:rsidTr="00240ADA">
        <w:tc>
          <w:tcPr>
            <w:tcW w:w="710" w:type="dxa"/>
            <w:shd w:val="clear" w:color="auto" w:fill="D9D9D9" w:themeFill="background1" w:themeFillShade="D9"/>
          </w:tcPr>
          <w:p w14:paraId="13D44B18" w14:textId="77777777" w:rsidR="00365376" w:rsidRDefault="00365376"/>
        </w:tc>
        <w:tc>
          <w:tcPr>
            <w:tcW w:w="9497" w:type="dxa"/>
          </w:tcPr>
          <w:p w14:paraId="5251989B" w14:textId="2F1B37FC" w:rsidR="00365376" w:rsidRPr="00365376" w:rsidRDefault="00365376" w:rsidP="00365376">
            <w:pPr>
              <w:rPr>
                <w:sz w:val="22"/>
                <w:szCs w:val="22"/>
              </w:rPr>
            </w:pPr>
            <w:r w:rsidRPr="00365376">
              <w:rPr>
                <w:b/>
                <w:bCs/>
                <w:sz w:val="22"/>
                <w:szCs w:val="22"/>
              </w:rPr>
              <w:t>DM Policy 10 - Development and Design</w:t>
            </w:r>
            <w:r w:rsidRPr="00365376">
              <w:rPr>
                <w:sz w:val="22"/>
                <w:szCs w:val="22"/>
              </w:rPr>
              <w:t> emphasises that developments should respect and enhance local character and distinctiveness. However, the large-scale urbanisation of this site would disrupt the natural landscape, replacing open fields and woodland with dense residential and commercial development. This would degrade the visual and environmental quality of the area, contrary to DM10's objectives.</w:t>
            </w:r>
          </w:p>
        </w:tc>
      </w:tr>
      <w:tr w:rsidR="00396D46" w14:paraId="09E56DED" w14:textId="77777777" w:rsidTr="00240ADA">
        <w:tc>
          <w:tcPr>
            <w:tcW w:w="710" w:type="dxa"/>
            <w:shd w:val="clear" w:color="auto" w:fill="D9D9D9" w:themeFill="background1" w:themeFillShade="D9"/>
          </w:tcPr>
          <w:p w14:paraId="2A8CBE8C" w14:textId="77777777" w:rsidR="00396D46" w:rsidRDefault="00396D46"/>
        </w:tc>
        <w:tc>
          <w:tcPr>
            <w:tcW w:w="9497" w:type="dxa"/>
          </w:tcPr>
          <w:p w14:paraId="7476BAB3" w14:textId="5F3A0F2A" w:rsidR="00396D46" w:rsidRPr="00365376" w:rsidRDefault="00396D46" w:rsidP="00396D46">
            <w:pPr>
              <w:pStyle w:val="NormalWeb"/>
              <w:rPr>
                <w:rFonts w:ascii="ProximaNova" w:hAnsi="ProximaNova"/>
                <w:b/>
                <w:bCs/>
                <w:sz w:val="22"/>
                <w:szCs w:val="22"/>
              </w:rPr>
            </w:pPr>
            <w:r w:rsidRPr="00365376">
              <w:rPr>
                <w:rFonts w:ascii="ProximaNova" w:hAnsi="ProximaNova"/>
                <w:b/>
                <w:bCs/>
                <w:sz w:val="22"/>
                <w:szCs w:val="22"/>
              </w:rPr>
              <w:t xml:space="preserve">DM Policy 11 – Protecting and enhancing the Historic Environment </w:t>
            </w:r>
            <w:r w:rsidRPr="00365376">
              <w:rPr>
                <w:b/>
                <w:bCs/>
                <w:sz w:val="22"/>
                <w:szCs w:val="22"/>
              </w:rPr>
              <w:t xml:space="preserve"> - </w:t>
            </w:r>
            <w:r w:rsidRPr="00365376">
              <w:rPr>
                <w:rFonts w:ascii="ProximaNova" w:hAnsi="ProximaNova"/>
                <w:sz w:val="22"/>
                <w:szCs w:val="22"/>
              </w:rPr>
              <w:t>Burroughs Woods is the jewel in the crown of Ratby and is enjoyed by walkers, dog walkers, horse riders, cyclists, ramblers, runners, families not just from Ratby but county wide. The potential damage and loss of ancient woodland and of course nearby Bury Camp, which is the oldest known human settlement in Ratby, it is a probable Iron Age encampment dating back approximately 3000 years and any development could harm this heritage asset.</w:t>
            </w:r>
          </w:p>
        </w:tc>
      </w:tr>
      <w:tr w:rsidR="00396D46" w14:paraId="60640400" w14:textId="77777777" w:rsidTr="00240ADA">
        <w:tc>
          <w:tcPr>
            <w:tcW w:w="710" w:type="dxa"/>
            <w:shd w:val="clear" w:color="auto" w:fill="D9D9D9" w:themeFill="background1" w:themeFillShade="D9"/>
          </w:tcPr>
          <w:p w14:paraId="2EEE2FD5" w14:textId="77777777" w:rsidR="00396D46" w:rsidRDefault="00396D46"/>
        </w:tc>
        <w:tc>
          <w:tcPr>
            <w:tcW w:w="9497" w:type="dxa"/>
          </w:tcPr>
          <w:p w14:paraId="37455925" w14:textId="77777777" w:rsidR="00365376" w:rsidRPr="00365376" w:rsidRDefault="00396D46" w:rsidP="00365376">
            <w:pPr>
              <w:rPr>
                <w:sz w:val="22"/>
                <w:szCs w:val="22"/>
              </w:rPr>
            </w:pPr>
            <w:r w:rsidRPr="00365376">
              <w:rPr>
                <w:rFonts w:ascii="ProximaNova" w:hAnsi="ProximaNova"/>
                <w:b/>
                <w:bCs/>
                <w:sz w:val="22"/>
                <w:szCs w:val="22"/>
              </w:rPr>
              <w:t>DM Policy 1</w:t>
            </w:r>
            <w:r w:rsidR="00365376" w:rsidRPr="00365376">
              <w:rPr>
                <w:rFonts w:ascii="ProximaNova" w:hAnsi="ProximaNova"/>
                <w:b/>
                <w:bCs/>
                <w:sz w:val="22"/>
                <w:szCs w:val="22"/>
              </w:rPr>
              <w:t>7 -</w:t>
            </w:r>
            <w:r w:rsidRPr="00365376">
              <w:rPr>
                <w:rFonts w:ascii="ProximaNova" w:hAnsi="ProximaNova"/>
                <w:sz w:val="22"/>
                <w:szCs w:val="22"/>
              </w:rPr>
              <w:t xml:space="preserve">. </w:t>
            </w:r>
            <w:r w:rsidR="00365376" w:rsidRPr="00365376">
              <w:rPr>
                <w:b/>
                <w:bCs/>
                <w:sz w:val="22"/>
                <w:szCs w:val="22"/>
              </w:rPr>
              <w:t>DM17: Highways and Transportation</w:t>
            </w:r>
            <w:r w:rsidR="00365376" w:rsidRPr="00365376">
              <w:rPr>
                <w:sz w:val="22"/>
                <w:szCs w:val="22"/>
              </w:rPr>
              <w:t> requires that developments should not adversely affect the safety and efficiency of the highway network. The anticipated increase in traffic, coupled with existing issues at key local junctions, suggests that this development would exacerbate congestion and safety risks, making the proposal non-compliant with DM17.</w:t>
            </w:r>
          </w:p>
          <w:p w14:paraId="02ADCB7C" w14:textId="718FA516" w:rsidR="00396D46" w:rsidRPr="00365376" w:rsidRDefault="00365376" w:rsidP="00365376">
            <w:pPr>
              <w:rPr>
                <w:sz w:val="22"/>
                <w:szCs w:val="22"/>
              </w:rPr>
            </w:pPr>
            <w:r w:rsidRPr="00365376">
              <w:rPr>
                <w:sz w:val="22"/>
                <w:szCs w:val="22"/>
              </w:rPr>
              <w:t>The traffic assessment provided as part of the application raises several concerns about highway safety and the capacity of local roads to handle the additional traffic generated by the development. The proposed access points and the existing rural road network are inadequate to safely accommodate the increased traffic, leading to potential hazards for both new and existing residents.</w:t>
            </w:r>
          </w:p>
        </w:tc>
      </w:tr>
      <w:tr w:rsidR="00D171DB" w14:paraId="0FB9CF17" w14:textId="77777777" w:rsidTr="00240ADA">
        <w:tc>
          <w:tcPr>
            <w:tcW w:w="710" w:type="dxa"/>
            <w:shd w:val="clear" w:color="auto" w:fill="D9D9D9" w:themeFill="background1" w:themeFillShade="D9"/>
          </w:tcPr>
          <w:p w14:paraId="110BC58E" w14:textId="77777777" w:rsidR="00D171DB" w:rsidRDefault="00D171DB"/>
        </w:tc>
        <w:tc>
          <w:tcPr>
            <w:tcW w:w="9497" w:type="dxa"/>
          </w:tcPr>
          <w:p w14:paraId="06111520" w14:textId="24F7A351" w:rsidR="008F1339" w:rsidRPr="0090311B" w:rsidRDefault="008F1339" w:rsidP="008F1339">
            <w:pPr>
              <w:rPr>
                <w:b/>
                <w:bCs/>
              </w:rPr>
            </w:pPr>
            <w:r w:rsidRPr="0090311B">
              <w:rPr>
                <w:b/>
                <w:bCs/>
              </w:rPr>
              <w:t xml:space="preserve"> Inadequate Infrastructure and Unsustainable Development</w:t>
            </w:r>
          </w:p>
          <w:p w14:paraId="0BA68E9D" w14:textId="7C92CBA8" w:rsidR="00365376" w:rsidRPr="008F1339" w:rsidRDefault="008F1339" w:rsidP="008F1339">
            <w:r w:rsidRPr="0090311B">
              <w:t xml:space="preserve">The NPPF advocates for sustainable development that supports the creation of healthy, vibrant, and cohesive communities. However, the proposed development fails to align with these principles due to inadequate infrastructure and over-reliance on private vehicles. </w:t>
            </w:r>
            <w:r w:rsidR="003735DB">
              <w:t xml:space="preserve">There are no parking facilities, </w:t>
            </w:r>
            <w:r w:rsidR="003735DB" w:rsidRPr="0090311B">
              <w:t>public</w:t>
            </w:r>
            <w:r w:rsidRPr="0090311B">
              <w:t xml:space="preserve"> transport links are limited, and the location of the site is such that residents would be heavily dependent on cars, increasing traffic congestion and carbon emissions.</w:t>
            </w:r>
            <w:r w:rsidR="003735DB">
              <w:t xml:space="preserve"> The underground network of Victorian  water and gas pipes are also inadequate and unable to cope with additional </w:t>
            </w:r>
            <w:r w:rsidR="00CA2E7B">
              <w:t xml:space="preserve">housing </w:t>
            </w:r>
            <w:r w:rsidR="003735DB">
              <w:t>on this scale.</w:t>
            </w:r>
          </w:p>
        </w:tc>
      </w:tr>
    </w:tbl>
    <w:p w14:paraId="6F4344DA" w14:textId="77777777" w:rsidR="00A76B17" w:rsidRDefault="00A76B17"/>
    <w:tbl>
      <w:tblPr>
        <w:tblStyle w:val="TableGrid"/>
        <w:tblW w:w="10207" w:type="dxa"/>
        <w:tblInd w:w="-431" w:type="dxa"/>
        <w:tblLook w:val="04A0" w:firstRow="1" w:lastRow="0" w:firstColumn="1" w:lastColumn="0" w:noHBand="0" w:noVBand="1"/>
      </w:tblPr>
      <w:tblGrid>
        <w:gridCol w:w="10207"/>
      </w:tblGrid>
      <w:tr w:rsidR="003735DB" w14:paraId="0238B1F1" w14:textId="77777777" w:rsidTr="00240ADA">
        <w:trPr>
          <w:trHeight w:val="4846"/>
        </w:trPr>
        <w:tc>
          <w:tcPr>
            <w:tcW w:w="10207" w:type="dxa"/>
            <w:shd w:val="clear" w:color="auto" w:fill="D9D9D9" w:themeFill="background1" w:themeFillShade="D9"/>
          </w:tcPr>
          <w:p w14:paraId="24E8635D" w14:textId="36757901" w:rsidR="003735DB" w:rsidRDefault="003735DB" w:rsidP="00396D46">
            <w:pPr>
              <w:pStyle w:val="NormalWeb"/>
              <w:rPr>
                <w:b/>
                <w:bCs/>
              </w:rPr>
            </w:pPr>
            <w:r>
              <w:rPr>
                <w:b/>
                <w:bCs/>
              </w:rPr>
              <w:t>Additional Comments</w:t>
            </w:r>
            <w:r w:rsidR="00737C95">
              <w:rPr>
                <w:b/>
                <w:bCs/>
              </w:rPr>
              <w:t xml:space="preserve"> (required)</w:t>
            </w:r>
            <w:r>
              <w:rPr>
                <w:b/>
                <w:bCs/>
              </w:rPr>
              <w:t>:</w:t>
            </w:r>
          </w:p>
        </w:tc>
      </w:tr>
    </w:tbl>
    <w:p w14:paraId="14858E2B" w14:textId="77777777" w:rsidR="00240ADA" w:rsidRDefault="00240ADA" w:rsidP="00240ADA">
      <w:pPr>
        <w:jc w:val="center"/>
      </w:pPr>
    </w:p>
    <w:p w14:paraId="7680B092" w14:textId="6AF3580B" w:rsidR="00195A62" w:rsidRDefault="00195A62" w:rsidP="00240ADA">
      <w:pPr>
        <w:jc w:val="center"/>
      </w:pPr>
      <w:r>
        <w:rPr>
          <w:noProof/>
        </w:rPr>
        <w:drawing>
          <wp:inline distT="0" distB="0" distL="0" distR="0" wp14:anchorId="7F4D6A8D" wp14:editId="185D96EC">
            <wp:extent cx="975933" cy="412365"/>
            <wp:effectExtent l="0" t="0" r="2540" b="0"/>
            <wp:docPr id="243313050" name="Picture 1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13050" name="Picture 13"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4864" cy="424589"/>
                    </a:xfrm>
                    <a:prstGeom prst="rect">
                      <a:avLst/>
                    </a:prstGeom>
                  </pic:spPr>
                </pic:pic>
              </a:graphicData>
            </a:graphic>
          </wp:inline>
        </w:drawing>
      </w:r>
    </w:p>
    <w:p w14:paraId="4202D450" w14:textId="77777777" w:rsidR="00195A62" w:rsidRDefault="00195A62" w:rsidP="00195A62">
      <w:pPr>
        <w:jc w:val="center"/>
      </w:pPr>
    </w:p>
    <w:p w14:paraId="0197E3E6" w14:textId="191A9254" w:rsidR="00195A62" w:rsidRPr="00737C95" w:rsidRDefault="00195A62" w:rsidP="00A66F78">
      <w:pPr>
        <w:jc w:val="center"/>
        <w:rPr>
          <w:sz w:val="20"/>
          <w:szCs w:val="20"/>
        </w:rPr>
      </w:pPr>
      <w:r w:rsidRPr="00737C95">
        <w:rPr>
          <w:sz w:val="20"/>
          <w:szCs w:val="20"/>
        </w:rPr>
        <w:t xml:space="preserve">If you have not yet written your objection letters to the outline planning application by Lagan Homes for 470 houses on Burroughs Road, we have tried to make the process </w:t>
      </w:r>
      <w:r w:rsidR="00CA2E7B" w:rsidRPr="00737C95">
        <w:rPr>
          <w:sz w:val="20"/>
          <w:szCs w:val="20"/>
        </w:rPr>
        <w:t xml:space="preserve">less </w:t>
      </w:r>
      <w:r w:rsidRPr="00737C95">
        <w:rPr>
          <w:sz w:val="20"/>
          <w:szCs w:val="20"/>
        </w:rPr>
        <w:t xml:space="preserve">confusing and easier for you to </w:t>
      </w:r>
      <w:r w:rsidR="00737C95" w:rsidRPr="00737C95">
        <w:rPr>
          <w:sz w:val="20"/>
          <w:szCs w:val="20"/>
        </w:rPr>
        <w:t>object</w:t>
      </w:r>
      <w:r w:rsidRPr="00737C95">
        <w:rPr>
          <w:sz w:val="20"/>
          <w:szCs w:val="20"/>
        </w:rPr>
        <w:t xml:space="preserve">, </w:t>
      </w:r>
      <w:r w:rsidR="00E943A0">
        <w:rPr>
          <w:sz w:val="20"/>
          <w:szCs w:val="20"/>
        </w:rPr>
        <w:t xml:space="preserve">if you are unsure if you have written the correct letter fill in the form anyway, </w:t>
      </w:r>
      <w:r w:rsidRPr="00737C95">
        <w:rPr>
          <w:sz w:val="20"/>
          <w:szCs w:val="20"/>
        </w:rPr>
        <w:t>details of how to do it are as follows:</w:t>
      </w:r>
    </w:p>
    <w:p w14:paraId="3B0E9212" w14:textId="4F967CD7" w:rsidR="00195A62" w:rsidRPr="00737C95" w:rsidRDefault="00195A62" w:rsidP="00A66F78">
      <w:pPr>
        <w:jc w:val="center"/>
        <w:rPr>
          <w:sz w:val="20"/>
          <w:szCs w:val="20"/>
        </w:rPr>
      </w:pPr>
      <w:r w:rsidRPr="00737C95">
        <w:rPr>
          <w:sz w:val="20"/>
          <w:szCs w:val="20"/>
        </w:rPr>
        <w:t xml:space="preserve">Simply fill in all the shaded areas </w:t>
      </w:r>
      <w:r w:rsidR="00737C95" w:rsidRPr="00737C95">
        <w:rPr>
          <w:sz w:val="20"/>
          <w:szCs w:val="20"/>
        </w:rPr>
        <w:t xml:space="preserve">on  both sides of the form </w:t>
      </w:r>
      <w:r w:rsidRPr="00737C95">
        <w:rPr>
          <w:sz w:val="20"/>
          <w:szCs w:val="20"/>
        </w:rPr>
        <w:t>and select the reasons for objection that matter to you</w:t>
      </w:r>
      <w:r w:rsidR="00737C95" w:rsidRPr="00737C95">
        <w:rPr>
          <w:sz w:val="20"/>
          <w:szCs w:val="20"/>
        </w:rPr>
        <w:t xml:space="preserve"> by p</w:t>
      </w:r>
      <w:r w:rsidR="00737C95">
        <w:rPr>
          <w:sz w:val="20"/>
          <w:szCs w:val="20"/>
        </w:rPr>
        <w:t>l</w:t>
      </w:r>
      <w:r w:rsidR="00737C95" w:rsidRPr="00737C95">
        <w:rPr>
          <w:sz w:val="20"/>
          <w:szCs w:val="20"/>
        </w:rPr>
        <w:t>acing a tick or cross in the boxes</w:t>
      </w:r>
      <w:r w:rsidR="00737C95">
        <w:rPr>
          <w:sz w:val="20"/>
          <w:szCs w:val="20"/>
        </w:rPr>
        <w:t xml:space="preserve"> provided on the </w:t>
      </w:r>
      <w:r w:rsidR="000E443D">
        <w:rPr>
          <w:sz w:val="20"/>
          <w:szCs w:val="20"/>
        </w:rPr>
        <w:t>left-hand</w:t>
      </w:r>
      <w:r w:rsidR="00737C95">
        <w:rPr>
          <w:sz w:val="20"/>
          <w:szCs w:val="20"/>
        </w:rPr>
        <w:t xml:space="preserve"> side of the reasons</w:t>
      </w:r>
      <w:r w:rsidRPr="00737C95">
        <w:rPr>
          <w:sz w:val="20"/>
          <w:szCs w:val="20"/>
        </w:rPr>
        <w:t xml:space="preserve">, add any further comments you may have and </w:t>
      </w:r>
      <w:r w:rsidR="00737C95" w:rsidRPr="00737C95">
        <w:rPr>
          <w:sz w:val="20"/>
          <w:szCs w:val="20"/>
        </w:rPr>
        <w:t xml:space="preserve">ensure you </w:t>
      </w:r>
      <w:r w:rsidRPr="00737C95">
        <w:rPr>
          <w:sz w:val="20"/>
          <w:szCs w:val="20"/>
        </w:rPr>
        <w:t>sign the form.</w:t>
      </w:r>
    </w:p>
    <w:p w14:paraId="6C633CFC" w14:textId="77777777" w:rsidR="00195A62" w:rsidRPr="00737C95" w:rsidRDefault="00195A62" w:rsidP="00195A62">
      <w:pPr>
        <w:jc w:val="center"/>
        <w:rPr>
          <w:sz w:val="10"/>
          <w:szCs w:val="10"/>
        </w:rPr>
      </w:pPr>
    </w:p>
    <w:p w14:paraId="39069A20" w14:textId="2CA9115F" w:rsidR="00195A62" w:rsidRPr="00737C95" w:rsidRDefault="00195A62" w:rsidP="00195A62">
      <w:pPr>
        <w:pStyle w:val="ListParagraph"/>
        <w:numPr>
          <w:ilvl w:val="0"/>
          <w:numId w:val="2"/>
        </w:numPr>
        <w:rPr>
          <w:color w:val="000000" w:themeColor="text1"/>
          <w:sz w:val="20"/>
          <w:szCs w:val="20"/>
        </w:rPr>
      </w:pPr>
      <w:r w:rsidRPr="00737C95">
        <w:rPr>
          <w:color w:val="000000" w:themeColor="text1"/>
          <w:sz w:val="20"/>
          <w:szCs w:val="20"/>
        </w:rPr>
        <w:t xml:space="preserve">Completed </w:t>
      </w:r>
      <w:r w:rsidR="00A66F78" w:rsidRPr="00737C95">
        <w:rPr>
          <w:color w:val="000000" w:themeColor="text1"/>
          <w:sz w:val="20"/>
          <w:szCs w:val="20"/>
        </w:rPr>
        <w:t>form</w:t>
      </w:r>
      <w:r w:rsidRPr="00737C95">
        <w:rPr>
          <w:color w:val="000000" w:themeColor="text1"/>
          <w:sz w:val="20"/>
          <w:szCs w:val="20"/>
        </w:rPr>
        <w:t>s can be dropped in to the Parish Office, the Post Office or the library, and we will submit them on your behalf.</w:t>
      </w:r>
    </w:p>
    <w:p w14:paraId="4D539DE8" w14:textId="77777777" w:rsidR="00195A62" w:rsidRPr="00737C95" w:rsidRDefault="00195A62" w:rsidP="00195A62">
      <w:pPr>
        <w:rPr>
          <w:color w:val="000000" w:themeColor="text1"/>
          <w:sz w:val="10"/>
          <w:szCs w:val="10"/>
        </w:rPr>
      </w:pPr>
    </w:p>
    <w:p w14:paraId="1BDDB6C8" w14:textId="32AFBCF1" w:rsidR="00195A62" w:rsidRPr="00737C95" w:rsidRDefault="00195A62" w:rsidP="00195A62">
      <w:pPr>
        <w:pStyle w:val="ListParagraph"/>
        <w:numPr>
          <w:ilvl w:val="0"/>
          <w:numId w:val="2"/>
        </w:numPr>
        <w:rPr>
          <w:color w:val="000000" w:themeColor="text1"/>
          <w:sz w:val="20"/>
          <w:szCs w:val="20"/>
        </w:rPr>
      </w:pPr>
      <w:r w:rsidRPr="00737C95">
        <w:rPr>
          <w:color w:val="000000" w:themeColor="text1"/>
          <w:sz w:val="20"/>
          <w:szCs w:val="20"/>
        </w:rPr>
        <w:t xml:space="preserve">Residents can also send objections direct by </w:t>
      </w:r>
      <w:r w:rsidR="00737C95" w:rsidRPr="00737C95">
        <w:rPr>
          <w:color w:val="000000" w:themeColor="text1"/>
          <w:sz w:val="20"/>
          <w:szCs w:val="20"/>
        </w:rPr>
        <w:t xml:space="preserve">downloading the form or </w:t>
      </w:r>
      <w:r w:rsidRPr="00737C95">
        <w:rPr>
          <w:color w:val="000000" w:themeColor="text1"/>
          <w:sz w:val="20"/>
          <w:szCs w:val="20"/>
        </w:rPr>
        <w:t xml:space="preserve">scanning the letter and sending it by email to </w:t>
      </w:r>
      <w:hyperlink r:id="rId6" w:history="1">
        <w:r w:rsidRPr="00737C95">
          <w:rPr>
            <w:rStyle w:val="Hyperlink"/>
            <w:sz w:val="20"/>
            <w:szCs w:val="20"/>
          </w:rPr>
          <w:t>alex.jelley@hinckley-bosworth.gov.uk</w:t>
        </w:r>
      </w:hyperlink>
      <w:r w:rsidRPr="00737C95">
        <w:rPr>
          <w:color w:val="000000" w:themeColor="text1"/>
          <w:sz w:val="20"/>
          <w:szCs w:val="20"/>
        </w:rPr>
        <w:t xml:space="preserve"> </w:t>
      </w:r>
    </w:p>
    <w:p w14:paraId="23B9E6E8" w14:textId="77777777" w:rsidR="00195A62" w:rsidRPr="00737C95" w:rsidRDefault="00195A62" w:rsidP="00195A62">
      <w:pPr>
        <w:pStyle w:val="ListParagraph"/>
        <w:ind w:left="1080"/>
        <w:rPr>
          <w:color w:val="000000" w:themeColor="text1"/>
          <w:sz w:val="10"/>
          <w:szCs w:val="10"/>
        </w:rPr>
      </w:pPr>
    </w:p>
    <w:p w14:paraId="7AFE22BD" w14:textId="297020BE" w:rsidR="00CA2E7B" w:rsidRPr="00737C95" w:rsidRDefault="00195A62" w:rsidP="00CA2E7B">
      <w:pPr>
        <w:pStyle w:val="ListParagraph"/>
        <w:numPr>
          <w:ilvl w:val="0"/>
          <w:numId w:val="2"/>
        </w:numPr>
        <w:ind w:left="1080"/>
        <w:rPr>
          <w:color w:val="000000" w:themeColor="text1"/>
          <w:sz w:val="20"/>
          <w:szCs w:val="20"/>
        </w:rPr>
      </w:pPr>
      <w:r w:rsidRPr="00737C95">
        <w:rPr>
          <w:color w:val="000000" w:themeColor="text1"/>
          <w:sz w:val="20"/>
          <w:szCs w:val="20"/>
        </w:rPr>
        <w:t xml:space="preserve">Or you can post your letter direct to </w:t>
      </w:r>
      <w:r w:rsidR="00CA2E7B" w:rsidRPr="00737C95">
        <w:rPr>
          <w:color w:val="000000" w:themeColor="text1"/>
          <w:sz w:val="20"/>
          <w:szCs w:val="20"/>
        </w:rPr>
        <w:t>Alex Jelley, Planning Policy, Hinckley &amp; Bosworth Borough Council, Hinckley Hub, Rugby Road, Hinckley, Leicestershire, LE10 0FR.</w:t>
      </w:r>
    </w:p>
    <w:p w14:paraId="4193B32A" w14:textId="77777777" w:rsidR="00737C95" w:rsidRPr="00737C95" w:rsidRDefault="00737C95" w:rsidP="00737C95">
      <w:pPr>
        <w:pStyle w:val="ListParagraph"/>
        <w:rPr>
          <w:color w:val="000000" w:themeColor="text1"/>
          <w:sz w:val="10"/>
          <w:szCs w:val="10"/>
        </w:rPr>
      </w:pPr>
    </w:p>
    <w:p w14:paraId="0C33FD93" w14:textId="39D78702" w:rsidR="00737C95" w:rsidRPr="00737C95" w:rsidRDefault="00737C95" w:rsidP="00CA2E7B">
      <w:pPr>
        <w:pStyle w:val="ListParagraph"/>
        <w:numPr>
          <w:ilvl w:val="0"/>
          <w:numId w:val="2"/>
        </w:numPr>
        <w:ind w:left="1080"/>
        <w:rPr>
          <w:color w:val="000000" w:themeColor="text1"/>
          <w:sz w:val="20"/>
          <w:szCs w:val="20"/>
        </w:rPr>
      </w:pPr>
      <w:r w:rsidRPr="00737C95">
        <w:rPr>
          <w:color w:val="000000" w:themeColor="text1"/>
          <w:sz w:val="20"/>
          <w:szCs w:val="20"/>
        </w:rPr>
        <w:t>Forms can be downloaded from the Rise for Ratby website and are available in both Word and PDF formats.</w:t>
      </w:r>
    </w:p>
    <w:p w14:paraId="5FC9FBAF" w14:textId="77777777" w:rsidR="00CA2E7B" w:rsidRPr="00737C95" w:rsidRDefault="00CA2E7B" w:rsidP="00CA2E7B">
      <w:pPr>
        <w:rPr>
          <w:color w:val="000000" w:themeColor="text1"/>
          <w:sz w:val="10"/>
          <w:szCs w:val="10"/>
        </w:rPr>
      </w:pPr>
    </w:p>
    <w:p w14:paraId="4E3C3BF7" w14:textId="77777777" w:rsidR="00737C95" w:rsidRDefault="00195A62" w:rsidP="00737C95">
      <w:pPr>
        <w:jc w:val="center"/>
        <w:rPr>
          <w:color w:val="000000" w:themeColor="text1"/>
          <w:sz w:val="20"/>
          <w:szCs w:val="20"/>
        </w:rPr>
      </w:pPr>
      <w:r w:rsidRPr="00737C95">
        <w:rPr>
          <w:color w:val="000000" w:themeColor="text1"/>
          <w:sz w:val="20"/>
          <w:szCs w:val="20"/>
        </w:rPr>
        <w:t xml:space="preserve">If you need help or have any questions, please get in touch via the Rise for Ratby website </w:t>
      </w:r>
      <w:hyperlink r:id="rId7" w:history="1">
        <w:r w:rsidRPr="00737C95">
          <w:rPr>
            <w:rStyle w:val="Hyperlink"/>
            <w:sz w:val="20"/>
            <w:szCs w:val="20"/>
          </w:rPr>
          <w:t>www.riseforratby.org.uk</w:t>
        </w:r>
      </w:hyperlink>
      <w:r w:rsidRPr="00737C95">
        <w:rPr>
          <w:color w:val="000000" w:themeColor="text1"/>
          <w:sz w:val="20"/>
          <w:szCs w:val="20"/>
        </w:rPr>
        <w:t xml:space="preserve"> and please do not forget to register at the foot of the home page, you will </w:t>
      </w:r>
      <w:r w:rsidR="00737C95" w:rsidRPr="00737C95">
        <w:rPr>
          <w:color w:val="000000" w:themeColor="text1"/>
          <w:sz w:val="20"/>
          <w:szCs w:val="20"/>
        </w:rPr>
        <w:t xml:space="preserve">receive </w:t>
      </w:r>
      <w:r w:rsidRPr="00737C95">
        <w:rPr>
          <w:color w:val="000000" w:themeColor="text1"/>
          <w:sz w:val="20"/>
          <w:szCs w:val="20"/>
        </w:rPr>
        <w:t>regular updates and news direct to you</w:t>
      </w:r>
      <w:r w:rsidR="00737C95" w:rsidRPr="00737C95">
        <w:rPr>
          <w:color w:val="000000" w:themeColor="text1"/>
          <w:sz w:val="20"/>
          <w:szCs w:val="20"/>
        </w:rPr>
        <w:t>r</w:t>
      </w:r>
      <w:r w:rsidRPr="00737C95">
        <w:rPr>
          <w:color w:val="000000" w:themeColor="text1"/>
          <w:sz w:val="20"/>
          <w:szCs w:val="20"/>
        </w:rPr>
        <w:t xml:space="preserve"> email.</w:t>
      </w:r>
    </w:p>
    <w:p w14:paraId="6256454A" w14:textId="77777777" w:rsidR="00737C95" w:rsidRDefault="00737C95" w:rsidP="00737C95">
      <w:pPr>
        <w:jc w:val="center"/>
        <w:rPr>
          <w:color w:val="000000" w:themeColor="text1"/>
          <w:sz w:val="20"/>
          <w:szCs w:val="20"/>
        </w:rPr>
      </w:pPr>
    </w:p>
    <w:p w14:paraId="20EFDB75" w14:textId="01D11C6D" w:rsidR="00A76B17" w:rsidRPr="00737C95" w:rsidRDefault="00CA2E7B" w:rsidP="00737C95">
      <w:pPr>
        <w:jc w:val="center"/>
        <w:rPr>
          <w:color w:val="000000" w:themeColor="text1"/>
          <w:sz w:val="20"/>
          <w:szCs w:val="20"/>
        </w:rPr>
      </w:pPr>
      <w:r w:rsidRPr="00CA2E7B">
        <w:rPr>
          <w:b/>
          <w:bCs/>
          <w:color w:val="000000" w:themeColor="text1"/>
          <w:sz w:val="28"/>
          <w:szCs w:val="28"/>
        </w:rPr>
        <w:t>DO NOT DELAY OR IT MAY BE TOO LATE!</w:t>
      </w:r>
    </w:p>
    <w:sectPr w:rsidR="00A76B17" w:rsidRPr="00737C95" w:rsidSect="001C5A35">
      <w:pgSz w:w="11900" w:h="16840"/>
      <w:pgMar w:top="1021"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roximaNova">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3F05"/>
    <w:multiLevelType w:val="multilevel"/>
    <w:tmpl w:val="B912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76084"/>
    <w:multiLevelType w:val="hybridMultilevel"/>
    <w:tmpl w:val="541AE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133593">
    <w:abstractNumId w:val="0"/>
  </w:num>
  <w:num w:numId="2" w16cid:durableId="814296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17"/>
    <w:rsid w:val="000E443D"/>
    <w:rsid w:val="001555E1"/>
    <w:rsid w:val="00195A62"/>
    <w:rsid w:val="001C5A35"/>
    <w:rsid w:val="00240ADA"/>
    <w:rsid w:val="00365376"/>
    <w:rsid w:val="003735DB"/>
    <w:rsid w:val="00396D46"/>
    <w:rsid w:val="0046114B"/>
    <w:rsid w:val="004A4922"/>
    <w:rsid w:val="00737C95"/>
    <w:rsid w:val="007F1D79"/>
    <w:rsid w:val="008421F4"/>
    <w:rsid w:val="008A5DE1"/>
    <w:rsid w:val="008F1339"/>
    <w:rsid w:val="009417C9"/>
    <w:rsid w:val="00A66F78"/>
    <w:rsid w:val="00A76B17"/>
    <w:rsid w:val="00A85A6E"/>
    <w:rsid w:val="00AF78F8"/>
    <w:rsid w:val="00B10AF8"/>
    <w:rsid w:val="00CA2E7B"/>
    <w:rsid w:val="00D106F6"/>
    <w:rsid w:val="00D171DB"/>
    <w:rsid w:val="00E943A0"/>
    <w:rsid w:val="00EE7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C06D"/>
  <w15:chartTrackingRefBased/>
  <w15:docId w15:val="{4A47889B-B016-854B-81B5-81CF733A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B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B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B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B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B17"/>
    <w:rPr>
      <w:rFonts w:eastAsiaTheme="majorEastAsia" w:cstheme="majorBidi"/>
      <w:color w:val="272727" w:themeColor="text1" w:themeTint="D8"/>
    </w:rPr>
  </w:style>
  <w:style w:type="paragraph" w:styleId="Title">
    <w:name w:val="Title"/>
    <w:basedOn w:val="Normal"/>
    <w:next w:val="Normal"/>
    <w:link w:val="TitleChar"/>
    <w:uiPriority w:val="10"/>
    <w:qFormat/>
    <w:rsid w:val="00A76B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B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B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6B17"/>
    <w:rPr>
      <w:i/>
      <w:iCs/>
      <w:color w:val="404040" w:themeColor="text1" w:themeTint="BF"/>
    </w:rPr>
  </w:style>
  <w:style w:type="paragraph" w:styleId="ListParagraph">
    <w:name w:val="List Paragraph"/>
    <w:basedOn w:val="Normal"/>
    <w:uiPriority w:val="34"/>
    <w:qFormat/>
    <w:rsid w:val="00A76B17"/>
    <w:pPr>
      <w:ind w:left="720"/>
      <w:contextualSpacing/>
    </w:pPr>
  </w:style>
  <w:style w:type="character" w:styleId="IntenseEmphasis">
    <w:name w:val="Intense Emphasis"/>
    <w:basedOn w:val="DefaultParagraphFont"/>
    <w:uiPriority w:val="21"/>
    <w:qFormat/>
    <w:rsid w:val="00A76B17"/>
    <w:rPr>
      <w:i/>
      <w:iCs/>
      <w:color w:val="0F4761" w:themeColor="accent1" w:themeShade="BF"/>
    </w:rPr>
  </w:style>
  <w:style w:type="paragraph" w:styleId="IntenseQuote">
    <w:name w:val="Intense Quote"/>
    <w:basedOn w:val="Normal"/>
    <w:next w:val="Normal"/>
    <w:link w:val="IntenseQuoteChar"/>
    <w:uiPriority w:val="30"/>
    <w:qFormat/>
    <w:rsid w:val="00A76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B17"/>
    <w:rPr>
      <w:i/>
      <w:iCs/>
      <w:color w:val="0F4761" w:themeColor="accent1" w:themeShade="BF"/>
    </w:rPr>
  </w:style>
  <w:style w:type="character" w:styleId="IntenseReference">
    <w:name w:val="Intense Reference"/>
    <w:basedOn w:val="DefaultParagraphFont"/>
    <w:uiPriority w:val="32"/>
    <w:qFormat/>
    <w:rsid w:val="00A76B17"/>
    <w:rPr>
      <w:b/>
      <w:bCs/>
      <w:smallCaps/>
      <w:color w:val="0F4761" w:themeColor="accent1" w:themeShade="BF"/>
      <w:spacing w:val="5"/>
    </w:rPr>
  </w:style>
  <w:style w:type="table" w:styleId="TableGrid">
    <w:name w:val="Table Grid"/>
    <w:basedOn w:val="TableNormal"/>
    <w:uiPriority w:val="39"/>
    <w:rsid w:val="00A76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6D4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95A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seforratb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jelley@hinckley-bosworth.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Tenwick</dc:creator>
  <cp:keywords/>
  <dc:description/>
  <cp:lastModifiedBy>Philip Tenwick</cp:lastModifiedBy>
  <cp:revision>15</cp:revision>
  <cp:lastPrinted>2025-01-21T10:41:00Z</cp:lastPrinted>
  <dcterms:created xsi:type="dcterms:W3CDTF">2025-01-20T13:45:00Z</dcterms:created>
  <dcterms:modified xsi:type="dcterms:W3CDTF">2025-01-21T12:13:00Z</dcterms:modified>
</cp:coreProperties>
</file>